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E55D34"/>
          <w:sz w:val="72"/>
        </w:rPr>
        <w:t>THE GOLDEN HOUR</w:t>
      </w:r>
    </w:p>
    <w:p>
      <w:pPr>
        <w:jc w:val="center"/>
      </w:pPr>
      <w:r>
        <w:rPr>
          <w:i/>
          <w:sz w:val="32"/>
        </w:rPr>
        <w:t>Aperol's entry into India — Strategic Memo</w:t>
      </w:r>
    </w:p>
    <w:p>
      <w:pPr>
        <w:jc w:val="center"/>
      </w:pPr>
      <w:r>
        <w:rPr>
          <w:sz w:val="22"/>
        </w:rPr>
        <w:t>v2.0  ·  May 2026  ·  Sai Kanagat</w:t>
      </w:r>
    </w:p>
    <w:p>
      <w:r>
        <w:br w:type="page"/>
      </w:r>
    </w:p>
    <w:p>
      <w:pPr>
        <w:spacing w:before="400" w:after="160"/>
      </w:pPr>
      <w:r>
        <w:rPr>
          <w:b/>
          <w:color w:val="E55D34"/>
          <w:sz w:val="40"/>
        </w:rPr>
        <w:t>Executive Summary</w:t>
      </w:r>
    </w:p>
    <w:p>
      <w:pPr>
        <w:spacing w:after="160"/>
      </w:pPr>
      <w:r>
        <w:t>India is the largest underpenetrated aperitivo opportunity in the world. The market infrastructure already exists — Campari India distributes Aperol Spritz across seven states. What's missing is not a product. What's missing is an occasion.</w:t>
      </w:r>
    </w:p>
    <w:p>
      <w:pPr>
        <w:spacing w:after="160"/>
      </w:pPr>
      <w:r>
        <w:t>Indians have two daily rituals: chai (morning) and dinner (night). The 6–9pm hour — work-done, dinner-yet-to-come — is unstructured, unnamed, and unowned. In Italy, this is aperitivo: the most photographed, most social, most "you've arrived" hour of the day.</w:t>
      </w:r>
    </w:p>
    <w:p>
      <w:pPr>
        <w:spacing w:after="160"/>
      </w:pPr>
      <w:r>
        <w:t>This memo proposes a 24-month launch that does not sell a drink. It names and owns an hour. Aperol. The Golden Hour.</w:t>
      </w:r>
    </w:p>
    <w:p>
      <w:pPr>
        <w:spacing w:after="160"/>
      </w:pPr>
      <w:r>
        <w:t>The campaign targets a specific cohort — the 25–34 urban Indian taste-shaper — using a phased seed/anchor/habit strategy across four cities (Mumbai, Delhi NCR, Bangalore, Goa), AI-native creative production, and a hero activation built around four pop-up "Golden Hour Terraces."</w:t>
      </w:r>
    </w:p>
    <w:p>
      <w:pPr>
        <w:spacing w:after="160"/>
      </w:pPr>
      <w:r>
        <w:t>Year 1 investment: €4.4M. The KPI is not volume in Year 1. The KPI is unprompted use of "Golden Hour" as a cultural phrase by the end of Year 2. Volume follows ritual.</w:t>
      </w:r>
    </w:p>
    <w:p>
      <w:pPr>
        <w:spacing w:before="400" w:after="160"/>
      </w:pPr>
      <w:r>
        <w:rPr>
          <w:b/>
          <w:color w:val="E55D34"/>
          <w:sz w:val="40"/>
        </w:rPr>
        <w:t>1. The Market Opportunity</w:t>
      </w:r>
    </w:p>
    <w:p>
      <w:pPr>
        <w:spacing w:before="280" w:after="120"/>
      </w:pPr>
      <w:r>
        <w:rPr>
          <w:b/>
          <w:color w:val="1A1410"/>
          <w:sz w:val="28"/>
        </w:rPr>
        <w:t>1.1 Sizing the prize</w:t>
      </w:r>
    </w:p>
    <w:p>
      <w:pPr>
        <w:pStyle w:val="ListBullet"/>
        <w:spacing w:after="80"/>
      </w:pPr>
      <w:r>
        <w:t>Global aperitifs market: $11.2B in 2024, projected $17.1B by 2033 (4.7% CAGR). Source: Growth Market Reports.</w:t>
      </w:r>
    </w:p>
    <w:p>
      <w:pPr>
        <w:pStyle w:val="ListBullet"/>
        <w:spacing w:after="80"/>
      </w:pPr>
      <w:r>
        <w:t>Asia-Pacific aperitifs: $1.9B in 2024, projected $3.4B by 2033 (6.2% CAGR — the fastest-growing region globally).</w:t>
      </w:r>
    </w:p>
    <w:p>
      <w:pPr>
        <w:pStyle w:val="ListBullet"/>
        <w:spacing w:after="80"/>
      </w:pPr>
      <w:r>
        <w:t>India spirits market: Projected to reach $64B by 2028, the world's largest by volume. Source: Gourmet Pro.</w:t>
      </w:r>
    </w:p>
    <w:p>
      <w:pPr>
        <w:pStyle w:val="ListBullet"/>
        <w:spacing w:after="80"/>
      </w:pPr>
      <w:r>
        <w:t>Campari Group's House of Aperitifs: 43% of total Campari sales, +6% in 2024. Aperol grew +5% globally.</w:t>
      </w:r>
    </w:p>
    <w:p>
      <w:pPr>
        <w:spacing w:after="160"/>
      </w:pPr>
      <w:r>
        <w:t>The Asia-Pacific aperitif growth is happening with India barely participating. If India captures even 10% of APAC aperitif growth between now and 2030, that's a $300M+ category from a near-zero base.</w:t>
      </w:r>
    </w:p>
    <w:p>
      <w:pPr>
        <w:spacing w:before="280" w:after="120"/>
      </w:pPr>
      <w:r>
        <w:rPr>
          <w:b/>
          <w:color w:val="1A1410"/>
          <w:sz w:val="28"/>
        </w:rPr>
        <w:t>1.2 The premium tailwind</w:t>
      </w:r>
    </w:p>
    <w:p>
      <w:pPr>
        <w:spacing w:after="160"/>
      </w:pPr>
      <w:r>
        <w:t>India's spirits consumption is shifting upmarket faster than any major market:</w:t>
      </w:r>
    </w:p>
    <w:p>
      <w:pPr>
        <w:pStyle w:val="ListBullet"/>
        <w:spacing w:after="80"/>
      </w:pPr>
      <w:r>
        <w:t>Premium and super-premium spirits growing &gt;20% CAGR (vs. 7% category average)</w:t>
      </w:r>
    </w:p>
    <w:p>
      <w:pPr>
        <w:pStyle w:val="ListBullet"/>
        <w:spacing w:after="80"/>
      </w:pPr>
      <w:r>
        <w:t>Urban tier-1 consumers trading up across categories — coffee, wine, whisky, cosmetics</w:t>
      </w:r>
    </w:p>
    <w:p>
      <w:pPr>
        <w:pStyle w:val="ListBullet"/>
        <w:spacing w:after="80"/>
      </w:pPr>
      <w:r>
        <w:t>"Imported, premium, low-volume, high-craft" is the dominant consumption signal in 25-34 cohort</w:t>
      </w:r>
    </w:p>
    <w:p>
      <w:pPr>
        <w:spacing w:after="160"/>
      </w:pPr>
      <w:r>
        <w:t>Aperol's price point (€25–€40 per bottle in India retail) sits exactly where this cohort lives: aspirational but accessible, not luxury, not mass.</w:t>
      </w:r>
    </w:p>
    <w:p>
      <w:pPr>
        <w:spacing w:before="280" w:after="120"/>
      </w:pPr>
      <w:r>
        <w:rPr>
          <w:b/>
          <w:color w:val="1A1410"/>
          <w:sz w:val="28"/>
        </w:rPr>
        <w:t>1.3 What's already on the ground</w:t>
      </w:r>
    </w:p>
    <w:p>
      <w:pPr>
        <w:spacing w:after="160"/>
      </w:pPr>
      <w:r>
        <w:t>Campari India currently distributes Aperol Spritz across Delhi, Mumbai, Chandigarh, Bangalore, Goa, Hyderabad, and West Bengal, primarily as part of gift-pack and on-trade hotel placement. There is no consumer brand marketing campaign in market. This memo proposes the campaign that activates existing distribution.</w:t>
      </w:r>
    </w:p>
    <w:p>
      <w:pPr>
        <w:spacing w:before="400" w:after="160"/>
      </w:pPr>
      <w:r>
        <w:rPr>
          <w:b/>
          <w:color w:val="E55D34"/>
          <w:sz w:val="40"/>
        </w:rPr>
        <w:t>2. The Cultural Insight</w:t>
      </w:r>
    </w:p>
    <w:p>
      <w:pPr>
        <w:spacing w:after="160"/>
      </w:pPr>
      <w:r>
        <w:t>India's evening is dead space.</w:t>
      </w:r>
    </w:p>
    <w:p>
      <w:pPr>
        <w:spacing w:after="160"/>
      </w:pPr>
      <w:r>
        <w:t>Between 6pm and 9pm — after work ends and before dinner is served — most urban Indians scroll, sit in traffic, do errands, or watch episodes alone. This is not a ritual. It is residue.</w:t>
      </w:r>
    </w:p>
    <w:p>
      <w:pPr>
        <w:spacing w:after="160"/>
      </w:pPr>
      <w:r>
        <w:t>In every culture where aperitivo culture exists — Italy, Spain, France, Brazil — this same hour is the most ritualized, most social, most economically valuable hour of the day. The 6–9pm window in Milan generates more on-trade revenue per square meter than any other time of day.</w:t>
      </w:r>
    </w:p>
    <w:p>
      <w:pPr>
        <w:spacing w:after="160"/>
      </w:pPr>
      <w:r>
        <w:t>The Indian version of this hour does not yet exist. No brand has tried to build it. The space is open.</w:t>
      </w:r>
    </w:p>
    <w:p>
      <w:pPr>
        <w:spacing w:before="280" w:after="120"/>
      </w:pPr>
      <w:r>
        <w:rPr>
          <w:b/>
          <w:color w:val="1A1410"/>
          <w:sz w:val="28"/>
        </w:rPr>
        <w:t>Why the cultural fit is real, not forced</w:t>
      </w:r>
    </w:p>
    <w:p>
      <w:pPr>
        <w:pStyle w:val="ListBullet"/>
        <w:spacing w:after="80"/>
      </w:pPr>
      <w:r>
        <w:t>Visual: Aperol's signature color is the exact orange of every Indian sunset, every wedding mandap, every Diwali diya, every monsoon mango. The brand is visually pre-installed in the Indian palette.</w:t>
      </w:r>
    </w:p>
    <w:p>
      <w:pPr>
        <w:pStyle w:val="ListBullet"/>
        <w:spacing w:after="80"/>
      </w:pPr>
      <w:r>
        <w:t>Behavioral: Indians already gather at terraces, balconies, rooftops, beaches at golden hour. The location and time exist. They lack a beverage and a name.</w:t>
      </w:r>
    </w:p>
    <w:p>
      <w:pPr>
        <w:pStyle w:val="ListBullet"/>
        <w:spacing w:after="80"/>
      </w:pPr>
      <w:r>
        <w:t>Generational: Gen Z and millennial Indians drink less than their parents, more selectively, and increasingly publicly. They want low-ABV, photogenic, social drinks — the exact category Aperol owns globally.</w:t>
      </w:r>
    </w:p>
    <w:p>
      <w:pPr>
        <w:pStyle w:val="ListBullet"/>
        <w:spacing w:after="80"/>
      </w:pPr>
      <w:r>
        <w:t>Cultural: Italy is having a moment in India (Prada Mumbai, Italian-trained chefs in Bandra and BKC, Milan Design Week coverage in AD India). Aperol arrives on a wave it didn't pay for.</w:t>
      </w:r>
    </w:p>
    <w:p>
      <w:pPr>
        <w:spacing w:before="400" w:after="160"/>
      </w:pPr>
      <w:r>
        <w:rPr>
          <w:b/>
          <w:color w:val="E55D34"/>
          <w:sz w:val="40"/>
        </w:rPr>
        <w:t>3. The Target Audience</w:t>
      </w:r>
    </w:p>
    <w:p>
      <w:pPr>
        <w:spacing w:after="160"/>
      </w:pPr>
      <w:r>
        <w:t>We are not targeting "drinkers." We are targeting the cohort whose Instagram feeds the next 50 million Indians copy.</w:t>
      </w:r>
    </w:p>
    <w:p>
      <w:pPr>
        <w:spacing w:before="280" w:after="120"/>
      </w:pPr>
      <w:r>
        <w:rPr>
          <w:b/>
          <w:color w:val="1A1410"/>
          <w:sz w:val="28"/>
        </w:rPr>
        <w:t>Primary: The Urban Indian Reframer</w:t>
      </w:r>
    </w:p>
    <w:p>
      <w:pPr>
        <w:spacing w:after="160"/>
      </w:pPr>
      <w:r>
        <w:t>Demographic</w:t>
      </w:r>
    </w:p>
    <w:p>
      <w:pPr>
        <w:pStyle w:val="ListBullet"/>
        <w:spacing w:after="80"/>
      </w:pPr>
      <w:r>
        <w:t>Age 25–34</w:t>
      </w:r>
    </w:p>
    <w:p>
      <w:pPr>
        <w:pStyle w:val="ListBullet"/>
        <w:spacing w:after="80"/>
      </w:pPr>
      <w:r>
        <w:t>Cities: Mumbai, Bangalore, Delhi NCR, Pune, Goa</w:t>
      </w:r>
    </w:p>
    <w:p>
      <w:pPr>
        <w:pStyle w:val="ListBullet"/>
        <w:spacing w:after="80"/>
      </w:pPr>
      <w:r>
        <w:t>Individual income: €17K+ · Household income: €33K+</w:t>
      </w:r>
    </w:p>
    <w:p>
      <w:pPr>
        <w:pStyle w:val="ListBullet"/>
        <w:spacing w:after="80"/>
      </w:pPr>
      <w:r>
        <w:t>Gender skew: 55% female / 45% male (deliberate — women drive cultural adoption)</w:t>
      </w:r>
    </w:p>
    <w:p>
      <w:pPr>
        <w:spacing w:after="160"/>
      </w:pPr>
      <w:r>
        <w:t>Psychographic</w:t>
      </w:r>
    </w:p>
    <w:p>
      <w:pPr>
        <w:pStyle w:val="ListBullet"/>
        <w:spacing w:after="80"/>
      </w:pPr>
      <w:r>
        <w:t>Travels internationally 1–2x per year, frequently to Europe</w:t>
      </w:r>
    </w:p>
    <w:p>
      <w:pPr>
        <w:pStyle w:val="ListBullet"/>
        <w:spacing w:after="80"/>
      </w:pPr>
      <w:r>
        <w:t>Posts food, travel, design — not selfies</w:t>
      </w:r>
    </w:p>
    <w:p>
      <w:pPr>
        <w:pStyle w:val="ListBullet"/>
        <w:spacing w:after="80"/>
      </w:pPr>
      <w:r>
        <w:t>Reads The Established, Mid-day Mumbai, AD India</w:t>
      </w:r>
    </w:p>
    <w:p>
      <w:pPr>
        <w:pStyle w:val="ListBullet"/>
        <w:spacing w:after="80"/>
      </w:pPr>
      <w:r>
        <w:t>Drinks selectively: wants to be seen well, not drunk</w:t>
      </w:r>
    </w:p>
    <w:p>
      <w:pPr>
        <w:pStyle w:val="ListBullet"/>
        <w:spacing w:after="80"/>
      </w:pPr>
      <w:r>
        <w:t>Already buys natural wine, single-origin coffee, craft cocktails</w:t>
      </w:r>
    </w:p>
    <w:p>
      <w:pPr>
        <w:spacing w:before="280" w:after="120"/>
      </w:pPr>
      <w:r>
        <w:rPr>
          <w:b/>
          <w:color w:val="1A1410"/>
          <w:sz w:val="28"/>
        </w:rPr>
        <w:t>Secondary: The On-Trade Tastemaker</w:t>
      </w:r>
    </w:p>
    <w:p>
      <w:pPr>
        <w:pStyle w:val="ListBullet"/>
        <w:spacing w:after="80"/>
      </w:pPr>
      <w:r>
        <w:t>Bar managers and chef-owners at the 50 most influential venues across the four cities</w:t>
      </w:r>
    </w:p>
    <w:p>
      <w:pPr>
        <w:pStyle w:val="ListBullet"/>
        <w:spacing w:after="80"/>
      </w:pPr>
      <w:r>
        <w:t>Not consumers — recommenders. Aperol Spritz on their menu = signal.</w:t>
      </w:r>
    </w:p>
    <w:p>
      <w:pPr>
        <w:spacing w:before="400" w:after="160"/>
      </w:pPr>
      <w:r>
        <w:rPr>
          <w:b/>
          <w:color w:val="E55D34"/>
          <w:sz w:val="40"/>
        </w:rPr>
        <w:t>4. The Positioning</w:t>
      </w:r>
    </w:p>
    <w:p>
      <w:pPr>
        <w:spacing w:before="280" w:after="120"/>
      </w:pPr>
      <w:r>
        <w:rPr>
          <w:b/>
          <w:color w:val="1A1410"/>
          <w:sz w:val="28"/>
        </w:rPr>
        <w:t>4.1 Where Aperol plays today (global)</w:t>
      </w:r>
    </w:p>
    <w:p>
      <w:pPr>
        <w:spacing w:after="160"/>
      </w:pPr>
      <w:r>
        <w:t>The easy aperitivo. Summer, sunshine, "Cin Cin," uncomplicated joy, orange.</w:t>
      </w:r>
    </w:p>
    <w:p>
      <w:pPr>
        <w:spacing w:before="280" w:after="120"/>
      </w:pPr>
      <w:r>
        <w:rPr>
          <w:b/>
          <w:color w:val="1A1410"/>
          <w:sz w:val="28"/>
        </w:rPr>
        <w:t>4.2 Where Aperol plays in India</w:t>
      </w:r>
    </w:p>
    <w:p>
      <w:pPr>
        <w:spacing w:after="160"/>
      </w:pPr>
      <w:r>
        <w:t>The architect of the missing hour. Less about a drink, more about a daily occasion. Less explicit Italianness, more an invitation to a way of living India is already ready for.</w:t>
      </w:r>
    </w:p>
    <w:p>
      <w:pPr>
        <w:spacing w:before="280" w:after="120"/>
      </w:pPr>
      <w:r>
        <w:rPr>
          <w:b/>
          <w:color w:val="1A1410"/>
          <w:sz w:val="28"/>
        </w:rPr>
        <w:t>4.3 The strategic move</w:t>
      </w:r>
    </w:p>
    <w:p>
      <w:pPr>
        <w:spacing w:after="160"/>
      </w:pPr>
      <w:r>
        <w:t>Most brand entries into India try to "Indianize" — adding masala, painting saffron over the logo, calling Suresh in the ad "Sunny." The Reframer cohort can smell this from a mile away and rejects it. Aperol's move is the opposite: stay Italian, become Indian by being adopted, not adapted.</w:t>
      </w:r>
    </w:p>
    <w:p>
      <w:pPr>
        <w:spacing w:before="280" w:after="120"/>
      </w:pPr>
      <w:r>
        <w:rPr>
          <w:b/>
          <w:color w:val="1A1410"/>
          <w:sz w:val="28"/>
        </w:rPr>
        <w:t>4.4 Brand line</w:t>
      </w:r>
    </w:p>
    <w:p>
      <w:pPr>
        <w:spacing w:before="160" w:after="160"/>
        <w:ind w:left="850"/>
      </w:pPr>
      <w:r>
        <w:rPr>
          <w:i/>
          <w:sz w:val="26"/>
        </w:rPr>
        <w:t>Aperol. The Golden Hour.</w:t>
      </w:r>
    </w:p>
    <w:p>
      <w:pPr>
        <w:spacing w:before="280" w:after="120"/>
      </w:pPr>
      <w:r>
        <w:rPr>
          <w:b/>
          <w:color w:val="1A1410"/>
          <w:sz w:val="28"/>
        </w:rPr>
        <w:t>4.5 Manifesto</w:t>
      </w:r>
    </w:p>
    <w:p>
      <w:pPr>
        <w:spacing w:before="160" w:after="160"/>
        <w:ind w:left="850"/>
      </w:pPr>
      <w:r>
        <w:rPr>
          <w:i/>
          <w:sz w:val="26"/>
        </w:rPr>
        <w:t>Between the day and the night, there is an hour with no name.</w:t>
        <w:br/>
        <w:br/>
        <w:t>The light turns gold. The work is done. Dinner is still coming.</w:t>
        <w:br/>
        <w:br/>
        <w:t>Italy has worshipped this hour for a hundred years. They built cities for it. Painted it. Bottled it.</w:t>
        <w:br/>
        <w:br/>
        <w:t>India, the hour is yours now.</w:t>
        <w:br/>
        <w:br/>
        <w:t>Pour. Sit. Look out.</w:t>
        <w:br/>
        <w:br/>
        <w:t>Aperol. The Golden Hour.</w:t>
      </w:r>
    </w:p>
    <w:p>
      <w:pPr>
        <w:spacing w:before="400" w:after="160"/>
      </w:pPr>
      <w:r>
        <w:rPr>
          <w:b/>
          <w:color w:val="E55D34"/>
          <w:sz w:val="40"/>
        </w:rPr>
        <w:t>5. Channel &amp; Activation Architecture</w:t>
      </w:r>
    </w:p>
    <w:p>
      <w:pPr>
        <w:spacing w:before="280" w:after="120"/>
      </w:pPr>
      <w:r>
        <w:rPr>
          <w:b/>
          <w:color w:val="1A1410"/>
          <w:sz w:val="28"/>
        </w:rPr>
        <w:t>Phase 1 — SEED (Months 1–3)</w:t>
      </w:r>
    </w:p>
    <w:p>
      <w:pPr>
        <w:spacing w:after="160"/>
      </w:pPr>
      <w:r>
        <w:t>Goal: Plant "Golden Hour" as a phrase in 50,000 cultural-leader feeds.</w:t>
      </w:r>
    </w:p>
    <w:p>
      <w:pPr>
        <w:pStyle w:val="ListBullet"/>
        <w:spacing w:after="80"/>
      </w:pPr>
      <w:r>
        <w:t>10 hand-picked creator partnerships</w:t>
      </w:r>
    </w:p>
    <w:p>
      <w:pPr>
        <w:pStyle w:val="ListBullet"/>
        <w:spacing w:after="80"/>
      </w:pPr>
      <w:r>
        <w:t>Editorial seeding: The Established, Vogue India, Mid-day, AD India</w:t>
      </w:r>
    </w:p>
    <w:p>
      <w:pPr>
        <w:pStyle w:val="ListBullet"/>
        <w:spacing w:after="80"/>
      </w:pPr>
      <w:r>
        <w:t>Top 50 on-trade venues across 4 cities</w:t>
      </w:r>
    </w:p>
    <w:p>
      <w:pPr>
        <w:pStyle w:val="ListBullet"/>
        <w:spacing w:after="80"/>
      </w:pPr>
      <w:r>
        <w:t>Zero paid media</w:t>
      </w:r>
    </w:p>
    <w:p>
      <w:pPr>
        <w:spacing w:before="280" w:after="120"/>
      </w:pPr>
      <w:r>
        <w:rPr>
          <w:b/>
          <w:color w:val="1A1410"/>
          <w:sz w:val="28"/>
        </w:rPr>
        <w:t>Phase 2 — ANCHOR (Months 4–9)</w:t>
      </w:r>
    </w:p>
    <w:p>
      <w:pPr>
        <w:spacing w:after="160"/>
      </w:pPr>
      <w:r>
        <w:t>Goal: Mass-market the phrase. Make "Golden Hour" inescapable in tier-1 metros.</w:t>
      </w:r>
    </w:p>
    <w:p>
      <w:pPr>
        <w:pStyle w:val="ListBullet"/>
        <w:spacing w:after="80"/>
      </w:pPr>
      <w:r>
        <w:t>Hero film launch — Instagram, YouTube pre-roll, Hotstar premium</w:t>
      </w:r>
    </w:p>
    <w:p>
      <w:pPr>
        <w:pStyle w:val="ListBullet"/>
        <w:spacing w:after="80"/>
      </w:pPr>
      <w:r>
        <w:t>4-city sunset-timed OOH</w:t>
      </w:r>
    </w:p>
    <w:p>
      <w:pPr>
        <w:pStyle w:val="ListBullet"/>
        <w:spacing w:after="80"/>
      </w:pPr>
      <w:r>
        <w:t>4 Golden Hour Terraces open simultaneously</w:t>
      </w:r>
    </w:p>
    <w:p>
      <w:pPr>
        <w:pStyle w:val="ListBullet"/>
        <w:spacing w:after="80"/>
      </w:pPr>
      <w:r>
        <w:t>Paid social — Instagram Reels, YouTube Shorts, geo-targeted</w:t>
      </w:r>
    </w:p>
    <w:p>
      <w:pPr>
        <w:spacing w:before="280" w:after="120"/>
      </w:pPr>
      <w:r>
        <w:rPr>
          <w:b/>
          <w:color w:val="1A1410"/>
          <w:sz w:val="28"/>
        </w:rPr>
        <w:t>Phase 3 — HABIT (Months 10–18)</w:t>
      </w:r>
    </w:p>
    <w:p>
      <w:pPr>
        <w:spacing w:after="160"/>
      </w:pPr>
      <w:r>
        <w:t>Goal: Make Golden Hour a recurring behavior, not a campaign.</w:t>
      </w:r>
    </w:p>
    <w:p>
      <w:pPr>
        <w:pStyle w:val="ListBullet"/>
        <w:spacing w:after="80"/>
      </w:pPr>
      <w:r>
        <w:t>"Sunset Reports" become a daily Instagram fixture</w:t>
      </w:r>
    </w:p>
    <w:p>
      <w:pPr>
        <w:pStyle w:val="ListBullet"/>
        <w:spacing w:after="80"/>
      </w:pPr>
      <w:r>
        <w:t>Retail expansion: special India-edition bottle launched</w:t>
      </w:r>
    </w:p>
    <w:p>
      <w:pPr>
        <w:pStyle w:val="ListBullet"/>
        <w:spacing w:after="80"/>
      </w:pPr>
      <w:r>
        <w:t>Terraces return for Season 2 with rotating chef residencies</w:t>
      </w:r>
    </w:p>
    <w:p>
      <w:pPr>
        <w:spacing w:before="400" w:after="160"/>
      </w:pPr>
      <w:r>
        <w:rPr>
          <w:b/>
          <w:color w:val="E55D34"/>
          <w:sz w:val="40"/>
        </w:rPr>
        <w:t>6. Media &amp; Investment Architecture</w:t>
      </w:r>
    </w:p>
    <w:p>
      <w:pPr>
        <w:spacing w:after="160"/>
      </w:pPr>
      <w:r>
        <w:t>Total recommended Year 1 spend: €4.4M.</w:t>
      </w:r>
    </w:p>
    <w:p>
      <w:pPr>
        <w:spacing w:after="160"/>
      </w:pPr>
      <w:r>
        <w:t>Channel allocation:</w:t>
      </w:r>
    </w:p>
    <w:p>
      <w:pPr>
        <w:pStyle w:val="ListBullet"/>
        <w:spacing w:after="80"/>
      </w:pPr>
      <w:r>
        <w:t>Paid social (Instagram, YouTube) — 30% — €1.32M — Reels + Shorts dominate, no Facebook</w:t>
      </w:r>
    </w:p>
    <w:p>
      <w:pPr>
        <w:pStyle w:val="ListBullet"/>
        <w:spacing w:after="80"/>
      </w:pPr>
      <w:r>
        <w:t>OOH (4-city sunset-timed) — 22% — €970K — Concentrated, not spread</w:t>
      </w:r>
    </w:p>
    <w:p>
      <w:pPr>
        <w:pStyle w:val="ListBullet"/>
        <w:spacing w:after="80"/>
      </w:pPr>
      <w:r>
        <w:t>Experiential (Terraces) — 20% — €880K — Hero activation, doubles as content factory</w:t>
      </w:r>
    </w:p>
    <w:p>
      <w:pPr>
        <w:pStyle w:val="ListBullet"/>
        <w:spacing w:after="80"/>
      </w:pPr>
      <w:r>
        <w:t>Creator partnerships — 12% — €530K — Long-form deals, not one-post deals</w:t>
      </w:r>
    </w:p>
    <w:p>
      <w:pPr>
        <w:pStyle w:val="ListBullet"/>
        <w:spacing w:after="80"/>
      </w:pPr>
      <w:r>
        <w:t>Editorial &amp; PR — 8% — €350K — Earned + paid placements</w:t>
      </w:r>
    </w:p>
    <w:p>
      <w:pPr>
        <w:pStyle w:val="ListBullet"/>
        <w:spacing w:after="80"/>
      </w:pPr>
      <w:r>
        <w:t>Trade activation — 5% — €220K — On-premise sampling, bartender education</w:t>
      </w:r>
    </w:p>
    <w:p>
      <w:pPr>
        <w:pStyle w:val="ListBullet"/>
        <w:spacing w:after="80"/>
      </w:pPr>
      <w:r>
        <w:t>Production &amp; content — 3% — €130K — Hero film, photography, social pack</w:t>
      </w:r>
    </w:p>
    <w:p>
      <w:pPr>
        <w:spacing w:before="400" w:after="160"/>
      </w:pPr>
      <w:r>
        <w:rPr>
          <w:b/>
          <w:color w:val="E55D34"/>
          <w:sz w:val="40"/>
        </w:rPr>
        <w:t>7. Regulatory Reality Check</w:t>
      </w:r>
    </w:p>
    <w:p>
      <w:pPr>
        <w:spacing w:after="160"/>
      </w:pPr>
      <w:r>
        <w:t>Indian alcohol advertising is restricted state-by-state. The campaign navigates this through:</w:t>
      </w:r>
    </w:p>
    <w:p>
      <w:pPr>
        <w:pStyle w:val="ListBullet"/>
        <w:spacing w:after="80"/>
      </w:pPr>
      <w:r>
        <w:t>No product shots in OOH — the orange is enough</w:t>
      </w:r>
    </w:p>
    <w:p>
      <w:pPr>
        <w:pStyle w:val="ListBullet"/>
        <w:spacing w:after="80"/>
      </w:pPr>
      <w:r>
        <w:t>Surrogate-free — won't pretend Aperol is a music label or a soda</w:t>
      </w:r>
    </w:p>
    <w:p>
      <w:pPr>
        <w:pStyle w:val="ListBullet"/>
        <w:spacing w:after="80"/>
      </w:pPr>
      <w:r>
        <w:t>State-by-state media plan — Maharashtra, Karnataka, Delhi each tailored</w:t>
      </w:r>
    </w:p>
    <w:p>
      <w:pPr>
        <w:pStyle w:val="ListBullet"/>
        <w:spacing w:after="80"/>
      </w:pPr>
      <w:r>
        <w:t>Compliant creator partnerships — creators show the hour, not the bottle logo</w:t>
      </w:r>
    </w:p>
    <w:p>
      <w:pPr>
        <w:pStyle w:val="ListBullet"/>
        <w:spacing w:after="80"/>
      </w:pPr>
      <w:r>
        <w:t>On-premise unaffected — Terraces and on-trade are fully legal channels</w:t>
      </w:r>
    </w:p>
    <w:p>
      <w:pPr>
        <w:spacing w:before="400" w:after="160"/>
      </w:pPr>
      <w:r>
        <w:rPr>
          <w:b/>
          <w:color w:val="E55D34"/>
          <w:sz w:val="40"/>
        </w:rPr>
        <w:t>8. Success Metrics</w:t>
      </w:r>
    </w:p>
    <w:p>
      <w:pPr>
        <w:spacing w:after="160"/>
      </w:pPr>
      <w:r>
        <w:t>Cultural</w:t>
      </w:r>
    </w:p>
    <w:p>
      <w:pPr>
        <w:pStyle w:val="ListBullet"/>
        <w:spacing w:after="80"/>
      </w:pPr>
      <w:r>
        <w:t>Unaided use of "Golden Hour" in target social conversation: 1,000/mo (Y1) → 25,000/mo (Y2)</w:t>
      </w:r>
    </w:p>
    <w:p>
      <w:pPr>
        <w:pStyle w:val="ListBullet"/>
        <w:spacing w:after="80"/>
      </w:pPr>
      <w:r>
        <w:t>Earned editorial features in tier-1 publications: 12 (Y1) → 30 (Y2)</w:t>
      </w:r>
    </w:p>
    <w:p>
      <w:pPr>
        <w:spacing w:after="160"/>
      </w:pPr>
      <w:r>
        <w:t>Behavioral</w:t>
      </w:r>
    </w:p>
    <w:p>
      <w:pPr>
        <w:pStyle w:val="ListBullet"/>
        <w:spacing w:after="80"/>
      </w:pPr>
      <w:r>
        <w:t>% of target cohort drinking between 6–9pm 2x+/month: baseline → +8pp (Y1) → +18pp (Y2)</w:t>
      </w:r>
    </w:p>
    <w:p>
      <w:pPr>
        <w:pStyle w:val="ListBullet"/>
        <w:spacing w:after="80"/>
      </w:pPr>
      <w:r>
        <w:t>Geo-tagged Aperol social posts originating in India: 5,000 (Y1) → 50,000 (Y2)</w:t>
      </w:r>
    </w:p>
    <w:p>
      <w:pPr>
        <w:spacing w:after="160"/>
      </w:pPr>
      <w:r>
        <w:t>Brand &amp; commercial</w:t>
      </w:r>
    </w:p>
    <w:p>
      <w:pPr>
        <w:pStyle w:val="ListBullet"/>
        <w:spacing w:after="80"/>
      </w:pPr>
      <w:r>
        <w:t>Unaided Aperol awareness in target cohort: 18% (Y1) → 40% (Y2)</w:t>
      </w:r>
    </w:p>
    <w:p>
      <w:pPr>
        <w:pStyle w:val="ListBullet"/>
        <w:spacing w:after="80"/>
      </w:pPr>
      <w:r>
        <w:t>Aperol India volume vs. baseline: +60% (Y1) → +200% (Y2)</w:t>
      </w:r>
    </w:p>
    <w:p>
      <w:pPr>
        <w:pStyle w:val="ListBullet"/>
        <w:spacing w:after="80"/>
      </w:pPr>
      <w:r>
        <w:t>Premium on-trade penetration (top 200 venues): 35% (Y1) → 75% (Y2)</w:t>
      </w:r>
    </w:p>
    <w:p>
      <w:pPr>
        <w:pStyle w:val="ListBullet"/>
        <w:spacing w:after="80"/>
      </w:pPr>
      <w:r>
        <w:t>Average bottle price held above €28</w:t>
      </w:r>
    </w:p>
    <w:p>
      <w:pPr>
        <w:spacing w:before="400" w:after="160"/>
      </w:pPr>
      <w:r>
        <w:rPr>
          <w:b/>
          <w:color w:val="E55D34"/>
          <w:sz w:val="40"/>
        </w:rPr>
        <w:t>9. Risks &amp; Mitigations</w:t>
      </w:r>
    </w:p>
    <w:p>
      <w:pPr>
        <w:pStyle w:val="ListBullet"/>
        <w:spacing w:after="80"/>
      </w:pPr>
      <w:r>
        <w:t>"Golden Hour" feels imported/colonial → Phase 1 cultural seeding via Indian voices owning the phrase first</w:t>
      </w:r>
    </w:p>
    <w:p>
      <w:pPr>
        <w:pStyle w:val="ListBullet"/>
        <w:spacing w:after="80"/>
      </w:pPr>
      <w:r>
        <w:t>Regulatory pushback on OOH → Surrogate-free, no product shot; orange color does the work</w:t>
      </w:r>
    </w:p>
    <w:p>
      <w:pPr>
        <w:pStyle w:val="ListBullet"/>
        <w:spacing w:after="80"/>
      </w:pPr>
      <w:r>
        <w:t>Terraces under-attended in Y1 → Limited capacity creates scarcity and FOMO</w:t>
      </w:r>
    </w:p>
    <w:p>
      <w:pPr>
        <w:pStyle w:val="ListBullet"/>
        <w:spacing w:after="80"/>
      </w:pPr>
      <w:r>
        <w:t>Aperol's bitterness vs. Indian palate → On-trade sampling lets bartenders titrate; "softer" India SKU under Y2 consideration</w:t>
      </w:r>
    </w:p>
    <w:p>
      <w:pPr>
        <w:pStyle w:val="ListBullet"/>
        <w:spacing w:after="80"/>
      </w:pPr>
      <w:r>
        <w:t>Competitive entry from Diageo/Pernod → First-mover ownership of the phrase "Golden Hour"</w:t>
      </w:r>
    </w:p>
    <w:p>
      <w:pPr>
        <w:spacing w:before="400" w:after="160"/>
      </w:pPr>
      <w:r>
        <w:rPr>
          <w:b/>
          <w:color w:val="E55D34"/>
          <w:sz w:val="40"/>
        </w:rPr>
        <w:t>10. The Ask</w:t>
      </w:r>
    </w:p>
    <w:p>
      <w:pPr>
        <w:spacing w:after="160"/>
      </w:pPr>
      <w:r>
        <w:t>This memo is being presented as a strategic proposal. The next steps, if approved, are:</w:t>
      </w:r>
    </w:p>
    <w:p>
      <w:pPr>
        <w:pStyle w:val="ListBullet"/>
        <w:spacing w:after="80"/>
      </w:pPr>
      <w:r>
        <w:t>Validation research — qualitative interviews with 30 target-cohort consumers across 4 cities (4 weeks)</w:t>
      </w:r>
    </w:p>
    <w:p>
      <w:pPr>
        <w:pStyle w:val="ListBullet"/>
        <w:spacing w:after="80"/>
      </w:pPr>
      <w:r>
        <w:t>Creator scouting and partnership scoping (4 weeks, parallel)</w:t>
      </w:r>
    </w:p>
    <w:p>
      <w:pPr>
        <w:pStyle w:val="ListBullet"/>
        <w:spacing w:after="80"/>
      </w:pPr>
      <w:r>
        <w:t>Hero film treatment + director pitch (6 weeks)</w:t>
      </w:r>
    </w:p>
    <w:p>
      <w:pPr>
        <w:pStyle w:val="ListBullet"/>
        <w:spacing w:after="80"/>
      </w:pPr>
      <w:r>
        <w:t>Phase 1 launch — Editorial + Creators + Trade activation (Month 4 of dev)</w:t>
      </w:r>
    </w:p>
    <w:p>
      <w:r>
        <w:br w:type="page"/>
      </w:r>
    </w:p>
    <w:p>
      <w:pPr>
        <w:spacing w:before="400" w:after="160"/>
      </w:pPr>
      <w:r>
        <w:rPr>
          <w:b/>
          <w:color w:val="E55D34"/>
          <w:sz w:val="40"/>
        </w:rPr>
        <w:t>Disclaimer</w:t>
      </w:r>
    </w:p>
    <w:p>
      <w:pPr>
        <w:spacing w:after="160"/>
      </w:pPr>
      <w:r>
        <w:t>This work is speculative. It is not affiliated with, endorsed by, or commissioned by Campari Group or Aperol. All trademarks belong to their respective owners. © Sai Kanagat, 2026.</w:t>
      </w:r>
    </w:p>
    <w:p>
      <w:pPr>
        <w:spacing w:after="160"/>
      </w:pPr>
      <w:r>
        <w:t>Prepared by Sai Kanagat · Bologna Business School · May 2026 · saikanagat1117@gmail.com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aramond" w:hAnsi="Garamond"/>
      <w:color w:val="1A141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